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Hiring a Part Time Pharmacist to Start May 31st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Communicare Pharmacy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11049 127 St NW, Edmonton, AB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T5M 0T3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 Responsibilities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Medication dispensing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 Counselling and clinical services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 Blister packing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 Ordering and receiving inventory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 Methadone and suboxone dispensing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* Administering injections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Availability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work Sunday, Monday</w:t>
      </w:r>
      <w:r w:rsidDel="00000000" w:rsidR="00000000" w:rsidRPr="00000000">
        <w:rPr>
          <w:rtl w:val="0"/>
        </w:rPr>
        <w:t xml:space="preserve">, Tuesday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every second Wednesday (some flexibility with </w:t>
      </w:r>
      <w:r w:rsidDel="00000000" w:rsidR="00000000" w:rsidRPr="00000000">
        <w:rPr>
          <w:rtl w:val="0"/>
        </w:rPr>
        <w:t xml:space="preserve">days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shifts)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Hours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 M-F: 11AM-6PM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 SAT: 11-4PM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 SUN: 11-1PM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 Familiarity with Kroll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 Authorized to administer injections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 Licensed to practice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 Skilled in written and verbal communication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 Hardworking and reliable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  <w:t xml:space="preserve">* Experienced or eager to learn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interested please send a copy of your resume to: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communicarepharmacy@gmail.com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mmunicarepharmac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